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006E7" w14:textId="77777777" w:rsidR="005B5804" w:rsidRDefault="00000000">
      <w:pPr>
        <w:rPr>
          <w:b/>
          <w:u w:val="single"/>
        </w:rPr>
      </w:pPr>
      <w:r>
        <w:rPr>
          <w:rFonts w:ascii="Times New Roman" w:eastAsia="Times New Roman" w:hAnsi="Times New Roman" w:cs="Times New Roman"/>
          <w:b/>
          <w:noProof/>
          <w:color w:val="000000"/>
        </w:rPr>
        <w:drawing>
          <wp:inline distT="0" distB="0" distL="0" distR="0" wp14:anchorId="60630904" wp14:editId="525DD48A">
            <wp:extent cx="1897963" cy="649459"/>
            <wp:effectExtent l="0" t="0" r="0" b="0"/>
            <wp:docPr id="729817097" name="image1.png"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with text on it&#10;&#10;AI-generated content may be incorrect."/>
                    <pic:cNvPicPr preferRelativeResize="0"/>
                  </pic:nvPicPr>
                  <pic:blipFill>
                    <a:blip r:embed="rId6"/>
                    <a:srcRect/>
                    <a:stretch>
                      <a:fillRect/>
                    </a:stretch>
                  </pic:blipFill>
                  <pic:spPr>
                    <a:xfrm>
                      <a:off x="0" y="0"/>
                      <a:ext cx="1897963" cy="649459"/>
                    </a:xfrm>
                    <a:prstGeom prst="rect">
                      <a:avLst/>
                    </a:prstGeom>
                    <a:ln/>
                  </pic:spPr>
                </pic:pic>
              </a:graphicData>
            </a:graphic>
          </wp:inline>
        </w:drawing>
      </w:r>
    </w:p>
    <w:p w14:paraId="338591D4" w14:textId="77777777" w:rsidR="005B5804" w:rsidRDefault="00000000">
      <w:pPr>
        <w:rPr>
          <w:rFonts w:ascii="Times New Roman" w:eastAsia="Times New Roman" w:hAnsi="Times New Roman" w:cs="Times New Roman"/>
        </w:rPr>
      </w:pPr>
      <w:r>
        <w:rPr>
          <w:rFonts w:ascii="Times New Roman" w:eastAsia="Times New Roman" w:hAnsi="Times New Roman" w:cs="Times New Roman"/>
          <w:b/>
          <w:u w:val="single"/>
        </w:rPr>
        <w:t xml:space="preserve">Dual Credit </w:t>
      </w:r>
      <w:r>
        <w:rPr>
          <w:rFonts w:ascii="Times New Roman" w:eastAsia="Times New Roman" w:hAnsi="Times New Roman" w:cs="Times New Roman"/>
          <w:b/>
          <w:i/>
          <w:u w:val="single"/>
        </w:rPr>
        <w:t>Outside Traditional School Day</w:t>
      </w:r>
      <w:r>
        <w:rPr>
          <w:rFonts w:ascii="Times New Roman" w:eastAsia="Times New Roman" w:hAnsi="Times New Roman" w:cs="Times New Roman"/>
          <w:b/>
          <w:u w:val="single"/>
        </w:rPr>
        <w:t xml:space="preserve"> Process</w:t>
      </w:r>
    </w:p>
    <w:p w14:paraId="2638378D" w14:textId="77777777" w:rsidR="005B5804" w:rsidRDefault="00000000">
      <w:pPr>
        <w:rPr>
          <w:rFonts w:ascii="Times New Roman" w:eastAsia="Times New Roman" w:hAnsi="Times New Roman" w:cs="Times New Roman"/>
          <w:highlight w:val="white"/>
        </w:rPr>
      </w:pPr>
      <w:r>
        <w:rPr>
          <w:rFonts w:ascii="Times New Roman" w:eastAsia="Times New Roman" w:hAnsi="Times New Roman" w:cs="Times New Roman"/>
        </w:rPr>
        <w:t xml:space="preserve">The following process should be followed when students take courses outside the school day at </w:t>
      </w:r>
      <w:r>
        <w:rPr>
          <w:rFonts w:ascii="Times New Roman" w:eastAsia="Times New Roman" w:hAnsi="Times New Roman" w:cs="Times New Roman"/>
          <w:highlight w:val="white"/>
        </w:rPr>
        <w:t xml:space="preserve">TCC, UTA or any other college or university.  </w:t>
      </w:r>
    </w:p>
    <w:p w14:paraId="55B7E547" w14:textId="77777777" w:rsidR="005B5804"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Students must notify the counselor that they are interested in enrolling in a Dual Credit course outside of the traditional school day</w:t>
      </w:r>
      <w:r>
        <w:rPr>
          <w:rFonts w:ascii="Times New Roman" w:eastAsia="Times New Roman" w:hAnsi="Times New Roman" w:cs="Times New Roman"/>
          <w:highlight w:val="white"/>
        </w:rPr>
        <w:t xml:space="preserve"> before enrollment in the Dual Credit course, prior to the higher education campus registration deadline.</w:t>
      </w:r>
    </w:p>
    <w:p w14:paraId="0AE3B275" w14:textId="77777777" w:rsidR="005B5804" w:rsidRDefault="005B5804">
      <w:pPr>
        <w:pBdr>
          <w:top w:val="nil"/>
          <w:left w:val="nil"/>
          <w:bottom w:val="nil"/>
          <w:right w:val="nil"/>
          <w:between w:val="nil"/>
        </w:pBdr>
        <w:spacing w:after="0"/>
        <w:ind w:left="720"/>
        <w:rPr>
          <w:rFonts w:ascii="Times New Roman" w:eastAsia="Times New Roman" w:hAnsi="Times New Roman" w:cs="Times New Roman"/>
          <w:color w:val="000000"/>
          <w:sz w:val="16"/>
          <w:szCs w:val="16"/>
          <w:highlight w:val="white"/>
        </w:rPr>
      </w:pPr>
    </w:p>
    <w:p w14:paraId="5C41E7ED" w14:textId="77777777" w:rsidR="005B5804"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Students must complete and submit the </w:t>
      </w:r>
      <w:hyperlink r:id="rId7">
        <w:r w:rsidRPr="00DF2033">
          <w:rPr>
            <w:rFonts w:ascii="Times New Roman" w:eastAsia="Times New Roman" w:hAnsi="Times New Roman" w:cs="Times New Roman"/>
            <w:color w:val="215E99" w:themeColor="text2" w:themeTint="BF"/>
            <w:highlight w:val="white"/>
            <w:u w:val="single"/>
          </w:rPr>
          <w:t>Dual Credit Enrollment</w:t>
        </w:r>
      </w:hyperlink>
      <w:r>
        <w:rPr>
          <w:rFonts w:ascii="Times New Roman" w:eastAsia="Times New Roman" w:hAnsi="Times New Roman" w:cs="Times New Roman"/>
          <w:color w:val="000000"/>
          <w:highlight w:val="white"/>
        </w:rPr>
        <w:t xml:space="preserve"> form to receive approval for enrollment.  This form will be the district standard request form that all campuses will use.  </w:t>
      </w:r>
    </w:p>
    <w:p w14:paraId="676B5C7E" w14:textId="77777777" w:rsidR="005B5804" w:rsidRDefault="005B5804">
      <w:pPr>
        <w:spacing w:after="0"/>
        <w:rPr>
          <w:rFonts w:ascii="Times New Roman" w:eastAsia="Times New Roman" w:hAnsi="Times New Roman" w:cs="Times New Roman"/>
          <w:sz w:val="16"/>
          <w:szCs w:val="16"/>
          <w:highlight w:val="white"/>
        </w:rPr>
      </w:pPr>
    </w:p>
    <w:p w14:paraId="1CC82F1C" w14:textId="25AFFD82" w:rsidR="005B5804"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The counselor will review the student submitted form and using the </w:t>
      </w:r>
      <w:r w:rsidRPr="00DF2033">
        <w:rPr>
          <w:rFonts w:ascii="Times New Roman" w:eastAsia="Times New Roman" w:hAnsi="Times New Roman" w:cs="Times New Roman"/>
          <w:color w:val="000000" w:themeColor="text1"/>
          <w:highlight w:val="white"/>
          <w:u w:val="single"/>
        </w:rPr>
        <w:t>DC Master Course List</w:t>
      </w:r>
      <w:r>
        <w:rPr>
          <w:rFonts w:ascii="Times New Roman" w:eastAsia="Times New Roman" w:hAnsi="Times New Roman" w:cs="Times New Roman"/>
          <w:color w:val="000000"/>
          <w:highlight w:val="white"/>
        </w:rPr>
        <w:t xml:space="preserve"> will determine if there is a district high school course equivalent to the requested college course.   Only college courses with a high school course equivalent will be approved for dual credit.</w:t>
      </w:r>
    </w:p>
    <w:p w14:paraId="46C3F6C6" w14:textId="77777777" w:rsidR="005B5804" w:rsidRDefault="005B5804">
      <w:pPr>
        <w:spacing w:after="0"/>
        <w:rPr>
          <w:rFonts w:ascii="Times New Roman" w:eastAsia="Times New Roman" w:hAnsi="Times New Roman" w:cs="Times New Roman"/>
          <w:sz w:val="16"/>
          <w:szCs w:val="16"/>
          <w:highlight w:val="white"/>
        </w:rPr>
      </w:pPr>
    </w:p>
    <w:p w14:paraId="66DEED35" w14:textId="0BACF5BA" w:rsidR="005B5804"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Once the counselor makes the determination, the </w:t>
      </w:r>
      <w:r w:rsidRPr="00DF2033">
        <w:rPr>
          <w:rFonts w:ascii="Times New Roman" w:eastAsia="Times New Roman" w:hAnsi="Times New Roman" w:cs="Times New Roman"/>
          <w:color w:val="000000" w:themeColor="text1"/>
          <w:highlight w:val="white"/>
          <w:u w:val="single"/>
        </w:rPr>
        <w:t>Approval/Denial Form</w:t>
      </w:r>
      <w:r>
        <w:rPr>
          <w:rFonts w:ascii="Times New Roman" w:eastAsia="Times New Roman" w:hAnsi="Times New Roman" w:cs="Times New Roman"/>
          <w:color w:val="000000"/>
          <w:highlight w:val="white"/>
        </w:rPr>
        <w:t xml:space="preserve"> will be completed and emailed to the student and the parent/guardian.</w:t>
      </w:r>
    </w:p>
    <w:p w14:paraId="113EFDF2" w14:textId="77777777" w:rsidR="005B5804" w:rsidRDefault="005B5804">
      <w:pPr>
        <w:pBdr>
          <w:top w:val="nil"/>
          <w:left w:val="nil"/>
          <w:bottom w:val="nil"/>
          <w:right w:val="nil"/>
          <w:between w:val="nil"/>
        </w:pBdr>
        <w:spacing w:after="0"/>
        <w:ind w:left="720"/>
        <w:rPr>
          <w:rFonts w:ascii="Times New Roman" w:eastAsia="Times New Roman" w:hAnsi="Times New Roman" w:cs="Times New Roman"/>
          <w:color w:val="000000"/>
          <w:sz w:val="16"/>
          <w:szCs w:val="16"/>
          <w:highlight w:val="white"/>
        </w:rPr>
      </w:pPr>
    </w:p>
    <w:p w14:paraId="38A0F1C6" w14:textId="77777777" w:rsidR="005B5804" w:rsidRDefault="00000000">
      <w:pPr>
        <w:numPr>
          <w:ilvl w:val="0"/>
          <w:numId w:val="2"/>
        </w:numPr>
        <w:pBdr>
          <w:top w:val="nil"/>
          <w:left w:val="nil"/>
          <w:bottom w:val="nil"/>
          <w:right w:val="nil"/>
          <w:between w:val="nil"/>
        </w:pBdr>
        <w:spacing w:after="0"/>
        <w:rPr>
          <w:rFonts w:ascii="Times New Roman" w:eastAsia="Times New Roman" w:hAnsi="Times New Roman" w:cs="Times New Roman"/>
          <w:i/>
          <w:color w:val="000000"/>
          <w:highlight w:val="white"/>
        </w:rPr>
      </w:pPr>
      <w:r>
        <w:rPr>
          <w:rFonts w:ascii="Times New Roman" w:eastAsia="Times New Roman" w:hAnsi="Times New Roman" w:cs="Times New Roman"/>
          <w:color w:val="000000"/>
          <w:highlight w:val="white"/>
        </w:rPr>
        <w:t xml:space="preserve">If the student is approved to take the college course for dual credit, upon completion of the course the student must provide a grade for transcription based on their decision when completing the Dual Credit Enrollment form.   </w:t>
      </w:r>
      <w:r>
        <w:rPr>
          <w:rFonts w:ascii="Times New Roman" w:eastAsia="Times New Roman" w:hAnsi="Times New Roman" w:cs="Times New Roman"/>
          <w:i/>
          <w:color w:val="000000"/>
          <w:highlight w:val="white"/>
        </w:rPr>
        <w:t xml:space="preserve">If a college transcript is submitted with a letter grade the grade will be transcribed based upon the </w:t>
      </w:r>
      <w:hyperlink r:id="rId8">
        <w:r w:rsidRPr="00DF2033">
          <w:rPr>
            <w:rFonts w:ascii="Times New Roman" w:eastAsia="Times New Roman" w:hAnsi="Times New Roman" w:cs="Times New Roman"/>
            <w:i/>
            <w:color w:val="215E99" w:themeColor="text2" w:themeTint="BF"/>
            <w:highlight w:val="white"/>
            <w:u w:val="single"/>
          </w:rPr>
          <w:t>conversion chart</w:t>
        </w:r>
      </w:hyperlink>
      <w:r>
        <w:rPr>
          <w:rFonts w:ascii="Times New Roman" w:eastAsia="Times New Roman" w:hAnsi="Times New Roman" w:cs="Times New Roman"/>
          <w:i/>
          <w:color w:val="000000"/>
          <w:highlight w:val="white"/>
        </w:rPr>
        <w:t xml:space="preserve"> found in our course description handbook.  If an official numeral grade is submitted</w:t>
      </w:r>
      <w:r>
        <w:rPr>
          <w:rFonts w:ascii="Times New Roman" w:eastAsia="Times New Roman" w:hAnsi="Times New Roman" w:cs="Times New Roman"/>
          <w:i/>
          <w:highlight w:val="white"/>
        </w:rPr>
        <w:t>,</w:t>
      </w:r>
      <w:r>
        <w:rPr>
          <w:rFonts w:ascii="Times New Roman" w:eastAsia="Times New Roman" w:hAnsi="Times New Roman" w:cs="Times New Roman"/>
          <w:i/>
          <w:color w:val="000000"/>
          <w:highlight w:val="white"/>
        </w:rPr>
        <w:t xml:space="preserve"> the numerical grade will be honored.  </w:t>
      </w:r>
      <w:r>
        <w:rPr>
          <w:rFonts w:ascii="Times New Roman" w:eastAsia="Times New Roman" w:hAnsi="Times New Roman" w:cs="Times New Roman"/>
          <w:b/>
          <w:i/>
          <w:color w:val="000000"/>
          <w:highlight w:val="white"/>
        </w:rPr>
        <w:t>For TCC and UTA only, students can provide a letter</w:t>
      </w:r>
      <w:r>
        <w:rPr>
          <w:rFonts w:ascii="Times New Roman" w:eastAsia="Times New Roman" w:hAnsi="Times New Roman" w:cs="Times New Roman"/>
          <w:b/>
          <w:i/>
          <w:highlight w:val="white"/>
        </w:rPr>
        <w:t xml:space="preserve">/email from the professor with a numerical grade rather than a transcript.  </w:t>
      </w:r>
      <w:r>
        <w:rPr>
          <w:rFonts w:ascii="Times New Roman" w:eastAsia="Times New Roman" w:hAnsi="Times New Roman" w:cs="Times New Roman"/>
          <w:b/>
          <w:highlight w:val="white"/>
        </w:rPr>
        <w:t xml:space="preserve">Students will upload their transcript/letter on the </w:t>
      </w:r>
      <w:hyperlink r:id="rId9">
        <w:r>
          <w:rPr>
            <w:rFonts w:ascii="Times New Roman" w:eastAsia="Times New Roman" w:hAnsi="Times New Roman" w:cs="Times New Roman"/>
            <w:b/>
            <w:color w:val="1155CC"/>
            <w:highlight w:val="white"/>
            <w:u w:val="single"/>
          </w:rPr>
          <w:t>Outside of School Dual Credit Submission Form</w:t>
        </w:r>
      </w:hyperlink>
    </w:p>
    <w:p w14:paraId="11681000" w14:textId="77777777" w:rsidR="005B5804" w:rsidRDefault="005B5804">
      <w:pPr>
        <w:pBdr>
          <w:top w:val="nil"/>
          <w:left w:val="nil"/>
          <w:bottom w:val="nil"/>
          <w:right w:val="nil"/>
          <w:between w:val="nil"/>
        </w:pBdr>
        <w:spacing w:after="0"/>
        <w:rPr>
          <w:rFonts w:ascii="Times New Roman" w:eastAsia="Times New Roman" w:hAnsi="Times New Roman" w:cs="Times New Roman"/>
          <w:b/>
          <w:highlight w:val="white"/>
        </w:rPr>
      </w:pPr>
    </w:p>
    <w:p w14:paraId="603A8606" w14:textId="77777777" w:rsidR="005B5804" w:rsidRDefault="00000000">
      <w:pPr>
        <w:pBdr>
          <w:top w:val="nil"/>
          <w:left w:val="nil"/>
          <w:bottom w:val="nil"/>
          <w:right w:val="nil"/>
          <w:between w:val="nil"/>
        </w:pBdr>
        <w:spacing w:after="0"/>
        <w:rPr>
          <w:rFonts w:ascii="Times New Roman" w:eastAsia="Times New Roman" w:hAnsi="Times New Roman" w:cs="Times New Roman"/>
          <w:b/>
          <w:highlight w:val="white"/>
        </w:rPr>
      </w:pPr>
      <w:r>
        <w:rPr>
          <w:rFonts w:ascii="Times New Roman" w:eastAsia="Times New Roman" w:hAnsi="Times New Roman" w:cs="Times New Roman"/>
          <w:b/>
          <w:highlight w:val="white"/>
        </w:rPr>
        <w:t>Requirements for Dual Credit Outside of School Day</w:t>
      </w:r>
    </w:p>
    <w:p w14:paraId="40346C98" w14:textId="77777777" w:rsidR="005B5804" w:rsidRDefault="00000000">
      <w:pPr>
        <w:pBdr>
          <w:top w:val="nil"/>
          <w:left w:val="nil"/>
          <w:bottom w:val="nil"/>
          <w:right w:val="nil"/>
          <w:between w:val="nil"/>
        </w:pBdr>
        <w:spacing w:after="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Students must meet the following requirements </w:t>
      </w:r>
      <w:proofErr w:type="gramStart"/>
      <w:r>
        <w:rPr>
          <w:rFonts w:ascii="Times New Roman" w:eastAsia="Times New Roman" w:hAnsi="Times New Roman" w:cs="Times New Roman"/>
          <w:highlight w:val="white"/>
        </w:rPr>
        <w:t>in order to</w:t>
      </w:r>
      <w:proofErr w:type="gramEnd"/>
      <w:r>
        <w:rPr>
          <w:rFonts w:ascii="Times New Roman" w:eastAsia="Times New Roman" w:hAnsi="Times New Roman" w:cs="Times New Roman"/>
          <w:highlight w:val="white"/>
        </w:rPr>
        <w:t xml:space="preserve"> participate:</w:t>
      </w:r>
    </w:p>
    <w:p w14:paraId="3636E9F2" w14:textId="77777777" w:rsidR="005B5804" w:rsidRDefault="005B5804">
      <w:pPr>
        <w:pBdr>
          <w:top w:val="nil"/>
          <w:left w:val="nil"/>
          <w:bottom w:val="nil"/>
          <w:right w:val="nil"/>
          <w:between w:val="nil"/>
        </w:pBdr>
        <w:spacing w:after="0"/>
        <w:rPr>
          <w:rFonts w:ascii="Times New Roman" w:eastAsia="Times New Roman" w:hAnsi="Times New Roman" w:cs="Times New Roman"/>
          <w:highlight w:val="white"/>
        </w:rPr>
      </w:pPr>
    </w:p>
    <w:p w14:paraId="73B9C3E0" w14:textId="77777777" w:rsidR="005B5804" w:rsidRDefault="00000000">
      <w:pPr>
        <w:numPr>
          <w:ilvl w:val="0"/>
          <w:numId w:val="1"/>
        </w:numPr>
        <w:pBdr>
          <w:top w:val="nil"/>
          <w:left w:val="nil"/>
          <w:bottom w:val="nil"/>
          <w:right w:val="nil"/>
          <w:between w:val="nil"/>
        </w:pBdr>
        <w:spacing w:after="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Students must be classified as an 11th or 12th grade student </w:t>
      </w:r>
      <w:proofErr w:type="gramStart"/>
      <w:r>
        <w:rPr>
          <w:rFonts w:ascii="Times New Roman" w:eastAsia="Times New Roman" w:hAnsi="Times New Roman" w:cs="Times New Roman"/>
          <w:highlight w:val="white"/>
        </w:rPr>
        <w:t>in order to</w:t>
      </w:r>
      <w:proofErr w:type="gramEnd"/>
      <w:r>
        <w:rPr>
          <w:rFonts w:ascii="Times New Roman" w:eastAsia="Times New Roman" w:hAnsi="Times New Roman" w:cs="Times New Roman"/>
          <w:highlight w:val="white"/>
        </w:rPr>
        <w:t xml:space="preserve"> take Dual Credit courses outside the school day for high school credit.</w:t>
      </w:r>
    </w:p>
    <w:p w14:paraId="389C55D9" w14:textId="77777777" w:rsidR="005B5804" w:rsidRDefault="005B5804">
      <w:pPr>
        <w:pBdr>
          <w:top w:val="nil"/>
          <w:left w:val="nil"/>
          <w:bottom w:val="nil"/>
          <w:right w:val="nil"/>
          <w:between w:val="nil"/>
        </w:pBdr>
        <w:spacing w:after="0"/>
        <w:ind w:left="720"/>
        <w:rPr>
          <w:rFonts w:ascii="Times New Roman" w:eastAsia="Times New Roman" w:hAnsi="Times New Roman" w:cs="Times New Roman"/>
          <w:highlight w:val="white"/>
        </w:rPr>
      </w:pPr>
    </w:p>
    <w:p w14:paraId="609627D8" w14:textId="77777777" w:rsidR="005B5804" w:rsidRDefault="00000000">
      <w:pPr>
        <w:numPr>
          <w:ilvl w:val="0"/>
          <w:numId w:val="1"/>
        </w:numPr>
        <w:pBdr>
          <w:top w:val="nil"/>
          <w:left w:val="nil"/>
          <w:bottom w:val="nil"/>
          <w:right w:val="nil"/>
          <w:between w:val="nil"/>
        </w:pBdr>
        <w:spacing w:after="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Students can only take three dual credit courses per </w:t>
      </w:r>
      <w:proofErr w:type="gramStart"/>
      <w:r>
        <w:rPr>
          <w:rFonts w:ascii="Times New Roman" w:eastAsia="Times New Roman" w:hAnsi="Times New Roman" w:cs="Times New Roman"/>
          <w:highlight w:val="white"/>
        </w:rPr>
        <w:t>semester,</w:t>
      </w:r>
      <w:proofErr w:type="gramEnd"/>
      <w:r>
        <w:rPr>
          <w:rFonts w:ascii="Times New Roman" w:eastAsia="Times New Roman" w:hAnsi="Times New Roman" w:cs="Times New Roman"/>
          <w:highlight w:val="white"/>
        </w:rPr>
        <w:t xml:space="preserve"> this includes any dual credit courses they are taking during the traditional school day.</w:t>
      </w:r>
    </w:p>
    <w:p w14:paraId="7B836447" w14:textId="77777777" w:rsidR="005B5804" w:rsidRDefault="005B5804">
      <w:pPr>
        <w:pBdr>
          <w:top w:val="nil"/>
          <w:left w:val="nil"/>
          <w:bottom w:val="nil"/>
          <w:right w:val="nil"/>
          <w:between w:val="nil"/>
        </w:pBdr>
        <w:spacing w:after="0"/>
        <w:ind w:left="720"/>
        <w:rPr>
          <w:rFonts w:ascii="Times New Roman" w:eastAsia="Times New Roman" w:hAnsi="Times New Roman" w:cs="Times New Roman"/>
          <w:highlight w:val="white"/>
        </w:rPr>
      </w:pPr>
    </w:p>
    <w:p w14:paraId="7AAAFDB0" w14:textId="77777777" w:rsidR="005B5804" w:rsidRDefault="00000000">
      <w:pPr>
        <w:numPr>
          <w:ilvl w:val="0"/>
          <w:numId w:val="1"/>
        </w:numPr>
        <w:pBdr>
          <w:top w:val="nil"/>
          <w:left w:val="nil"/>
          <w:bottom w:val="nil"/>
          <w:right w:val="nil"/>
          <w:between w:val="nil"/>
        </w:pBdr>
        <w:spacing w:after="0"/>
        <w:rPr>
          <w:rFonts w:ascii="Times New Roman" w:eastAsia="Times New Roman" w:hAnsi="Times New Roman" w:cs="Times New Roman"/>
          <w:highlight w:val="white"/>
        </w:rPr>
      </w:pPr>
      <w:r>
        <w:rPr>
          <w:rFonts w:ascii="Times New Roman" w:eastAsia="Times New Roman" w:hAnsi="Times New Roman" w:cs="Times New Roman"/>
          <w:highlight w:val="white"/>
        </w:rPr>
        <w:t>Students must submit a transcript/letter from professor with grades by the following dates</w:t>
      </w:r>
      <w:proofErr w:type="gramStart"/>
      <w:r>
        <w:rPr>
          <w:rFonts w:ascii="Times New Roman" w:eastAsia="Times New Roman" w:hAnsi="Times New Roman" w:cs="Times New Roman"/>
          <w:highlight w:val="white"/>
        </w:rPr>
        <w:t>:  Fall</w:t>
      </w:r>
      <w:proofErr w:type="gramEnd"/>
      <w:r>
        <w:rPr>
          <w:rFonts w:ascii="Times New Roman" w:eastAsia="Times New Roman" w:hAnsi="Times New Roman" w:cs="Times New Roman"/>
          <w:highlight w:val="white"/>
        </w:rPr>
        <w:t xml:space="preserve"> semester Jan 15th, Spring semester May 15th, Summer August 15th (</w:t>
      </w:r>
      <w:r>
        <w:rPr>
          <w:rFonts w:ascii="Times New Roman" w:eastAsia="Times New Roman" w:hAnsi="Times New Roman" w:cs="Times New Roman"/>
          <w:b/>
          <w:i/>
          <w:highlight w:val="white"/>
        </w:rPr>
        <w:t>unless the student is a summer graduate, in which case must be submitted prior to summer graduation</w:t>
      </w:r>
      <w:r>
        <w:rPr>
          <w:rFonts w:ascii="Times New Roman" w:eastAsia="Times New Roman" w:hAnsi="Times New Roman" w:cs="Times New Roman"/>
          <w:highlight w:val="white"/>
        </w:rPr>
        <w:t>.)  If the transcript/letter from the professor is not received by these dates, the course(s) will not be placed on the high school transcript for credit.</w:t>
      </w:r>
    </w:p>
    <w:p w14:paraId="0CD3398F" w14:textId="77777777" w:rsidR="005B5804" w:rsidRDefault="005B5804">
      <w:pPr>
        <w:pBdr>
          <w:top w:val="nil"/>
          <w:left w:val="nil"/>
          <w:bottom w:val="nil"/>
          <w:right w:val="nil"/>
          <w:between w:val="nil"/>
        </w:pBdr>
        <w:spacing w:after="0"/>
        <w:ind w:left="720"/>
        <w:rPr>
          <w:rFonts w:ascii="Times New Roman" w:eastAsia="Times New Roman" w:hAnsi="Times New Roman" w:cs="Times New Roman"/>
          <w:highlight w:val="white"/>
        </w:rPr>
      </w:pPr>
    </w:p>
    <w:p w14:paraId="116164C1" w14:textId="66BAF1EB" w:rsidR="005B5804" w:rsidRPr="00DF2033" w:rsidRDefault="00000000" w:rsidP="00DF2033">
      <w:pPr>
        <w:numPr>
          <w:ilvl w:val="0"/>
          <w:numId w:val="1"/>
        </w:numPr>
        <w:pBdr>
          <w:top w:val="nil"/>
          <w:left w:val="nil"/>
          <w:bottom w:val="nil"/>
          <w:right w:val="nil"/>
          <w:between w:val="nil"/>
        </w:pBdr>
        <w:spacing w:after="0"/>
        <w:rPr>
          <w:rFonts w:ascii="Times New Roman" w:eastAsia="Times New Roman" w:hAnsi="Times New Roman" w:cs="Times New Roman"/>
        </w:rPr>
      </w:pPr>
      <w:r w:rsidRPr="00DF2033">
        <w:rPr>
          <w:rFonts w:ascii="Times New Roman" w:eastAsia="Times New Roman" w:hAnsi="Times New Roman" w:cs="Times New Roman"/>
          <w:highlight w:val="white"/>
        </w:rPr>
        <w:t>Students wanting to take dual credit outside of the school day will be responsible for the registration, tuition and books on their own.  The district will not cover the cost of these courses.</w:t>
      </w:r>
    </w:p>
    <w:sectPr w:rsidR="005B5804" w:rsidRPr="00DF203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embedRegular r:id="rId1" w:fontKey="{080F93B4-A31C-4736-BF22-A8E4A94727BC}"/>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C0CB4BCF-6DB5-4EF3-B4D5-9A1647DC5A01}"/>
    <w:embedBold r:id="rId3" w:fontKey="{C877489B-E7E4-4218-9FC5-DE33C675584C}"/>
    <w:embedItalic r:id="rId4" w:fontKey="{211CA63F-9EE7-4C49-81AA-2C7B12E35D91}"/>
  </w:font>
  <w:font w:name="Play">
    <w:charset w:val="00"/>
    <w:family w:val="auto"/>
    <w:pitch w:val="default"/>
    <w:embedRegular r:id="rId5" w:fontKey="{C7348DFE-4B51-4FB8-A359-A256378BED0B}"/>
  </w:font>
  <w:font w:name="Aptos Display">
    <w:charset w:val="00"/>
    <w:family w:val="swiss"/>
    <w:pitch w:val="variable"/>
    <w:sig w:usb0="20000287" w:usb1="00000003" w:usb2="00000000" w:usb3="00000000" w:csb0="0000019F" w:csb1="00000000"/>
    <w:embedRegular r:id="rId6" w:fontKey="{BE18A981-38AC-445E-BE72-8DED2DB41886}"/>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23316"/>
    <w:multiLevelType w:val="multilevel"/>
    <w:tmpl w:val="42508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93E0D8B"/>
    <w:multiLevelType w:val="multilevel"/>
    <w:tmpl w:val="8326DA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1370739">
    <w:abstractNumId w:val="0"/>
  </w:num>
  <w:num w:numId="2" w16cid:durableId="1876120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804"/>
    <w:rsid w:val="005B5804"/>
    <w:rsid w:val="00DF2033"/>
    <w:rsid w:val="00E51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0DAC9"/>
  <w15:docId w15:val="{13AFEE46-2667-414D-BE93-5634E5E3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3C18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8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8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3C18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8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8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8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8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8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8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8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8ED"/>
    <w:rPr>
      <w:rFonts w:eastAsiaTheme="majorEastAsia" w:cstheme="majorBidi"/>
      <w:color w:val="272727" w:themeColor="text1" w:themeTint="D8"/>
    </w:rPr>
  </w:style>
  <w:style w:type="character" w:customStyle="1" w:styleId="TitleChar">
    <w:name w:val="Title Char"/>
    <w:basedOn w:val="DefaultParagraphFont"/>
    <w:link w:val="Title"/>
    <w:uiPriority w:val="10"/>
    <w:rsid w:val="003C18ED"/>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3C18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8ED"/>
    <w:pPr>
      <w:spacing w:before="160"/>
      <w:jc w:val="center"/>
    </w:pPr>
    <w:rPr>
      <w:i/>
      <w:iCs/>
      <w:color w:val="404040" w:themeColor="text1" w:themeTint="BF"/>
    </w:rPr>
  </w:style>
  <w:style w:type="character" w:customStyle="1" w:styleId="QuoteChar">
    <w:name w:val="Quote Char"/>
    <w:basedOn w:val="DefaultParagraphFont"/>
    <w:link w:val="Quote"/>
    <w:uiPriority w:val="29"/>
    <w:rsid w:val="003C18ED"/>
    <w:rPr>
      <w:i/>
      <w:iCs/>
      <w:color w:val="404040" w:themeColor="text1" w:themeTint="BF"/>
    </w:rPr>
  </w:style>
  <w:style w:type="paragraph" w:styleId="ListParagraph">
    <w:name w:val="List Paragraph"/>
    <w:basedOn w:val="Normal"/>
    <w:uiPriority w:val="34"/>
    <w:qFormat/>
    <w:rsid w:val="003C18ED"/>
    <w:pPr>
      <w:ind w:left="720"/>
      <w:contextualSpacing/>
    </w:pPr>
  </w:style>
  <w:style w:type="character" w:styleId="IntenseEmphasis">
    <w:name w:val="Intense Emphasis"/>
    <w:basedOn w:val="DefaultParagraphFont"/>
    <w:uiPriority w:val="21"/>
    <w:qFormat/>
    <w:rsid w:val="003C18ED"/>
    <w:rPr>
      <w:i/>
      <w:iCs/>
      <w:color w:val="0F4761" w:themeColor="accent1" w:themeShade="BF"/>
    </w:rPr>
  </w:style>
  <w:style w:type="paragraph" w:styleId="IntenseQuote">
    <w:name w:val="Intense Quote"/>
    <w:basedOn w:val="Normal"/>
    <w:next w:val="Normal"/>
    <w:link w:val="IntenseQuoteChar"/>
    <w:uiPriority w:val="30"/>
    <w:qFormat/>
    <w:rsid w:val="003C1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8ED"/>
    <w:rPr>
      <w:i/>
      <w:iCs/>
      <w:color w:val="0F4761" w:themeColor="accent1" w:themeShade="BF"/>
    </w:rPr>
  </w:style>
  <w:style w:type="character" w:styleId="IntenseReference">
    <w:name w:val="Intense Reference"/>
    <w:basedOn w:val="DefaultParagraphFont"/>
    <w:uiPriority w:val="32"/>
    <w:qFormat/>
    <w:rsid w:val="003C18ED"/>
    <w:rPr>
      <w:b/>
      <w:bCs/>
      <w:smallCaps/>
      <w:color w:val="0F4761" w:themeColor="accent1" w:themeShade="BF"/>
      <w:spacing w:val="5"/>
    </w:rPr>
  </w:style>
  <w:style w:type="character" w:styleId="Hyperlink">
    <w:name w:val="Hyperlink"/>
    <w:basedOn w:val="DefaultParagraphFont"/>
    <w:uiPriority w:val="99"/>
    <w:unhideWhenUsed/>
    <w:rsid w:val="00FC7CC5"/>
    <w:rPr>
      <w:color w:val="467886" w:themeColor="hyperlink"/>
      <w:u w:val="single"/>
    </w:rPr>
  </w:style>
  <w:style w:type="character" w:styleId="UnresolvedMention">
    <w:name w:val="Unresolved Mention"/>
    <w:basedOn w:val="DefaultParagraphFont"/>
    <w:uiPriority w:val="99"/>
    <w:semiHidden/>
    <w:unhideWhenUsed/>
    <w:rsid w:val="00FC7CC5"/>
    <w:rPr>
      <w:color w:val="605E5C"/>
      <w:shd w:val="clear" w:color="auto" w:fill="E1DFDD"/>
    </w:rPr>
  </w:style>
  <w:style w:type="character" w:styleId="FollowedHyperlink">
    <w:name w:val="FollowedHyperlink"/>
    <w:basedOn w:val="DefaultParagraphFont"/>
    <w:uiPriority w:val="99"/>
    <w:semiHidden/>
    <w:unhideWhenUsed/>
    <w:rsid w:val="00FC7CC5"/>
    <w:rPr>
      <w:color w:val="96607D" w:themeColor="followedHyperlink"/>
      <w:u w:val="single"/>
    </w:rPr>
  </w:style>
  <w:style w:type="table" w:styleId="TableGrid">
    <w:name w:val="Table Grid"/>
    <w:basedOn w:val="TableNormal"/>
    <w:uiPriority w:val="39"/>
    <w:rsid w:val="000D6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isd.net/district/departments/academic-services/transformational-learning/guidance-and-counseling/high-school-course-description-guide/general-information-and-policies/" TargetMode="External"/><Relationship Id="rId3" Type="http://schemas.openxmlformats.org/officeDocument/2006/relationships/styles" Target="styles.xml"/><Relationship Id="rId7" Type="http://schemas.openxmlformats.org/officeDocument/2006/relationships/hyperlink" Target="https://docs.google.com/forms/d/e/1FAIpQLSdsybbvSD2dEl6Jb0fvN3j_pxb9H3vCutFieN-2ZjrXvp705A/viewfor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forms/d/e/1FAIpQLSfAaH4UmvQKxJBpfoR2t3V4IR0HQUEKAsDBH25za7bNX3gadw/viewform?usp=sharing&amp;ouid=111009946053250309259"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LlHBt0mbK6Q+KJUATcsjEgXUkQ==">CgMxLjA4AHIhMThrVER5ZDlPWnFDWDNzQnB6WnB4VVZobERTRjNVSVJi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485</Words>
  <Characters>2765</Characters>
  <Application>Microsoft Office Word</Application>
  <DocSecurity>0</DocSecurity>
  <Lines>23</Lines>
  <Paragraphs>6</Paragraphs>
  <ScaleCrop>false</ScaleCrop>
  <Company>Arlington Independent School District</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Telisa Brown</dc:creator>
  <cp:lastModifiedBy>Glenda Simmons</cp:lastModifiedBy>
  <cp:revision>2</cp:revision>
  <dcterms:created xsi:type="dcterms:W3CDTF">2025-10-17T20:06:00Z</dcterms:created>
  <dcterms:modified xsi:type="dcterms:W3CDTF">2025-10-17T20:06:00Z</dcterms:modified>
</cp:coreProperties>
</file>